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15="http://schemas.microsoft.com/office/word/2012/wordml" xmlns:mc="http://schemas.openxmlformats.org/markup-compatibility/2006" mc:Ignorable="w14 w15">
  <w:body>
    <w:p>
      <w:pPr>
        <w:pStyle w:val="Heading1"/>
      </w:pPr>
      <w:r>
        <w:t xml:space="preserve">Mustervereinbarung Vertrauensarbeitszeit</w:t>
      </w:r>
    </w:p>
    <w:p>
      <w:pPr>
        <w:pStyle w:val="Subtitle"/>
      </w:pPr>
      <w:r>
        <w:t xml:space="preserve">Mustervereinbarung nach BAG-Urteil zur Arbeitszeiterfassung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c>
          <w:tcPr>
            <w:tcW w:w="26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Datum, Unterschrift Arbeitgeber:</w:t>
            </w:r>
          </w:p>
        </w:tc>
        <w:tc>
          <w:tcPr>
            <w:tcW w:w="70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Arbeitgeber"/>
                <w:tag w:val="arbeitgeber"/>
                <w:id w:val="2028"/>
                <w:placeholder>
                  <w:docPart w:val="DefaultPlaceholder_2028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[Name und Anschrift des Arbeitgebers / Unternehmens]</w:t>
                </w:r>
              </w:sdtContent>
            </w:sdt>
          </w:p>
        </w:tc>
      </w:tr>
      <w:tr>
        <w:tc>
          <w:tcPr>
            <w:tcW w:w="26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Datum, Unterschrift Mitarbeiter/in:</w:t>
            </w:r>
          </w:p>
        </w:tc>
        <w:tc>
          <w:tcPr>
            <w:tcW w:w="70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Arbeitnehmer"/>
                <w:tag w:val="arbeitnehmer"/>
                <w:id w:val="2029"/>
                <w:placeholder>
                  <w:docPart w:val="DefaultPlaceholder_2029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[Vorname Nachname des/der Beschäftigten]</w:t>
                </w:r>
              </w:sdtContent>
            </w:sdt>
          </w:p>
        </w:tc>
      </w:tr>
    </w:tbl>
    <w:p/>
    <w:p>
      <w:r>
        <w:t xml:space="preserve">Zwischen dem Arbeitgeber und dem/der Arbeitnehmer/in wird folgende Vereinbarung über die Durchführung von Vertrauensarbeitszeit geschlossen:</w:t>
      </w:r>
    </w:p>
    <w:p/>
    <w:p>
      <w:pPr>
        <w:pStyle w:val="Heading2"/>
      </w:pPr>
      <w:r>
        <w:t xml:space="preserve">§ 1 Gegenstand</w:t>
      </w:r>
    </w:p>
    <w:p>
      <w:r>
        <w:t xml:space="preserve">Die Arbeitszeit wird als Vertrauensarbeitszeit geleistet. Der Arbeitgeber verzichtet auf die Vorgabe von Beginn und Ende der täglichen Arbeitszeit. Die vertraglich vereinbarte Wochenarbeitszeit von </w:t>
      </w:r>
      <w:sdt>
        <w:sdtPr>
          <w:alias w:val="Stunden"/>
          <w:tag w:val="stunden"/>
          <w:id w:val="2030"/>
          <w:placeholder>
            <w:docPart w:val="DefaultPlaceholder_2030"/>
          </w:placeholder>
          <w:showingPlcHdr/>
          <w:rPr>
            <w:rFonts w:ascii="Calibri" w:hAnsi="Calibri"/>
            <w:sz w:val="21"/>
            <w:color w:val="0F172A"/>
          </w:rPr>
          <w:text/>
        </w:sdtPr>
        <w:sdtContent>
          <w:r>
            <w:rPr>
              <w:rStyle w:val="PlaceholderText"/>
              <w:sz w:val="21"/>
            </w:rPr>
            <w:t xml:space="preserve">[Wochenstunden, z.B. 40]</w:t>
          </w:r>
        </w:sdtContent>
      </w:sdt>
      <w:r>
        <w:t xml:space="preserve"> Stunden bleibt unberührt.</w:t>
      </w:r>
    </w:p>
    <w:p/>
    <w:p>
      <w:pPr>
        <w:pStyle w:val="Heading2"/>
      </w:pPr>
      <w:r>
        <w:t xml:space="preserve">§ 2 Aufzeichnung der Arbeitszeit</w:t>
      </w:r>
    </w:p>
    <w:p>
      <w:r>
        <w:t xml:space="preserve">Der Arbeitgeber stellt ein System zur Erfassung von Beginn, Ende und Dauer der täglichen Arbeitszeit bereit. Die Erfassung wird auf den Arbeitnehmer/die Arbeitnehmerin übertragen. Die Eintragung erfolgt arbeitstäglich, spätestens innerhalb von sieben Kalendertagen.</w:t>
      </w:r>
    </w:p>
    <w:p/>
    <w:p>
      <w:pPr>
        <w:pStyle w:val="Heading2"/>
      </w:pPr>
      <w:r>
        <w:t xml:space="preserve">§ 3 Höchstarbeitszeit und Ruhezeit</w:t>
      </w:r>
    </w:p>
    <w:p>
      <w:r>
        <w:t xml:space="preserve">Die Grenzen des Arbeitszeitgesetzes sind strikt einzuhalten: höchstens acht Stunden werktäglich (§ 3 ArbZG), Ruhepausen nach § 4 ArbZG sowie eine ununterbrochene Ruhezeit von mindestens elf Stunden nach § 5 ArbZG.</w:t>
      </w:r>
    </w:p>
    <w:p/>
    <w:p>
      <w:pPr>
        <w:pStyle w:val="Heading2"/>
      </w:pPr>
      <w:r>
        <w:t xml:space="preserve">§ 4 Erreichbarkeit &amp; Servicezeiten</w:t>
      </w:r>
    </w:p>
    <w:p>
      <w:r>
        <w:t xml:space="preserve">Eine Pflicht zur Erreichbarkeit außerhalb der vereinbarten Servicezeiten von </w:t>
      </w:r>
      <w:sdt>
        <w:sdtPr>
          <w:alias w:val="Datum"/>
          <w:tag w:val="datum"/>
          <w:id w:val="2031"/>
          <w:placeholder>
            <w:docPart w:val="DefaultPlaceholder_2031"/>
          </w:placeholder>
          <w:showingPlcHdr/>
          <w:rPr>
            <w:rFonts w:ascii="Calibri" w:hAnsi="Calibri"/>
            <w:sz w:val="21"/>
            <w:color w:val="0F172A"/>
          </w:rPr>
          <w:date w:fullDate="2026-01-01T00:00:00Z">
            <w:dateFormat w:val="dd.MM.yyyy"/>
            <w:lid w:val="de-DE"/>
            <w:storeMappedDataAs w:val="dateTime"/>
            <w:calendar w:val="gregorian"/>
          </w:date>
        </w:sdtPr>
        <w:sdtContent>
          <w:r>
            <w:rPr>
              <w:rStyle w:val="PlaceholderText"/>
              <w:sz w:val="21"/>
            </w:rPr>
            <w:t xml:space="preserve">[Datum auswählen]</w:t>
          </w:r>
        </w:sdtContent>
      </w:sdt>
      <w:r>
        <w:t xml:space="preserve"> bis </w:t>
      </w:r>
      <w:sdt>
        <w:sdtPr>
          <w:alias w:val="Uhrzeit"/>
          <w:tag w:val="uhrzeit"/>
          <w:id w:val="2032"/>
          <w:placeholder>
            <w:docPart w:val="DefaultPlaceholder_2032"/>
          </w:placeholder>
          <w:showingPlcHdr/>
          <w:rPr>
            <w:rFonts w:ascii="Calibri" w:hAnsi="Calibri"/>
            <w:sz w:val="21"/>
            <w:color w:val="0F172A"/>
          </w:rPr>
          <w:text/>
        </w:sdtPr>
        <w:sdtContent>
          <w:r>
            <w:rPr>
              <w:rStyle w:val="PlaceholderText"/>
              <w:sz w:val="21"/>
            </w:rPr>
            <w:t xml:space="preserve">[Uhrzeit, z.B. 09:00]</w:t>
          </w:r>
        </w:sdtContent>
      </w:sdt>
      <w:r>
        <w:t xml:space="preserve"> Uhr besteht nicht. Angeordnete Rufbereitschaft wird gesondert vereinbart und vergütet.</w:t>
      </w:r>
    </w:p>
    <w:p/>
    <w:p>
      <w:pPr>
        <w:pStyle w:val="Heading2"/>
      </w:pPr>
      <w:r>
        <w:t xml:space="preserve">§ 5 Mehrarbeit &amp; Freizeitausgleich</w:t>
      </w:r>
    </w:p>
    <w:p>
      <w:r>
        <w:t xml:space="preserve">Über die vereinbarte Arbeitszeit hinausgehende Stunden werden auf einem Arbeitszeitkonto geführt und innerhalb von </w:t>
      </w:r>
      <w:sdt>
        <w:sdtPr>
          <w:alias w:val="Monate"/>
          <w:tag w:val="monate"/>
          <w:id w:val="2033"/>
          <w:placeholder>
            <w:docPart w:val="DefaultPlaceholder_2033"/>
          </w:placeholder>
          <w:showingPlcHdr/>
          <w:rPr>
            <w:rFonts w:ascii="Calibri" w:hAnsi="Calibri"/>
            <w:sz w:val="21"/>
            <w:color w:val="0F172A"/>
          </w:rPr>
          <w:text/>
        </w:sdtPr>
        <w:sdtContent>
          <w:r>
            <w:rPr>
              <w:rStyle w:val="PlaceholderText"/>
              <w:sz w:val="21"/>
            </w:rPr>
            <w:t xml:space="preserve">[Monate, z.B. 6]</w:t>
          </w:r>
        </w:sdtContent>
      </w:sdt>
      <w:r>
        <w:t xml:space="preserve"> Monaten durch Freizeit ausgeglichen. Eine pauschale Abgeltung von Mehrarbeit erfolgt nicht.</w:t>
      </w:r>
    </w:p>
    <w:p/>
    <w:p>
      <w:pPr>
        <w:pStyle w:val="Heading2"/>
      </w:pPr>
      <w:r>
        <w:t xml:space="preserve">§ 6 Kontrolle und Auswertung</w:t>
      </w:r>
    </w:p>
    <w:p>
      <w:r>
        <w:t xml:space="preserve">Der Arbeitgeber wertet die Aufzeichnungen ausschließlich zur Einhaltung der gesetzlichen Arbeitszeitgrenzen und zur Entgeltabrechnung aus. Eine Verhaltens- oder Leistungskontrolle findet nicht statt.</w:t>
      </w:r>
    </w:p>
    <w:p/>
    <w:p>
      <w:pPr>
        <w:pStyle w:val="Heading2"/>
      </w:pPr>
      <w:r>
        <w:t xml:space="preserve">§ 7 Laufzeit &amp; Kündigung</w:t>
      </w:r>
    </w:p>
    <w:p>
      <w:r>
        <w:t xml:space="preserve">Die Vereinbarung tritt am </w:t>
      </w:r>
      <w:sdt>
        <w:sdtPr>
          <w:alias w:val="Datum"/>
          <w:tag w:val="datum"/>
          <w:id w:val="2034"/>
          <w:placeholder>
            <w:docPart w:val="DefaultPlaceholder_2034"/>
          </w:placeholder>
          <w:showingPlcHdr/>
          <w:rPr>
            <w:rFonts w:ascii="Calibri" w:hAnsi="Calibri"/>
            <w:sz w:val="21"/>
            <w:color w:val="0F172A"/>
          </w:rPr>
          <w:date w:fullDate="2026-01-01T00:00:00Z">
            <w:dateFormat w:val="dd.MM.yyyy"/>
            <w:lid w:val="de-DE"/>
            <w:storeMappedDataAs w:val="dateTime"/>
            <w:calendar w:val="gregorian"/>
          </w:date>
        </w:sdtPr>
        <w:sdtContent>
          <w:r>
            <w:rPr>
              <w:rStyle w:val="PlaceholderText"/>
              <w:sz w:val="21"/>
            </w:rPr>
            <w:t xml:space="preserve">[Datum auswählen]</w:t>
          </w:r>
        </w:sdtContent>
      </w:sdt>
      <w:r>
        <w:t xml:space="preserve"> in Kraft. Sie kann von beiden Seiten mit einer Frist von </w:t>
      </w:r>
      <w:sdt>
        <w:sdtPr>
          <w:alias w:val="Monate"/>
          <w:tag w:val="monate"/>
          <w:id w:val="2035"/>
          <w:placeholder>
            <w:docPart w:val="DefaultPlaceholder_2035"/>
          </w:placeholder>
          <w:showingPlcHdr/>
          <w:rPr>
            <w:rFonts w:ascii="Calibri" w:hAnsi="Calibri"/>
            <w:sz w:val="21"/>
            <w:color w:val="0F172A"/>
          </w:rPr>
          <w:text/>
        </w:sdtPr>
        <w:sdtContent>
          <w:r>
            <w:rPr>
              <w:rStyle w:val="PlaceholderText"/>
              <w:sz w:val="21"/>
            </w:rPr>
            <w:t xml:space="preserve">[Monate, z.B. 6]</w:t>
          </w:r>
        </w:sdtContent>
      </w:sdt>
      <w:r>
        <w:t xml:space="preserve"> Monaten zum Monatsende gekündigt werden. Danach gilt die vertragliche Regelarbeitszeit.</w:t>
      </w:r>
    </w:p>
    <w:p/>
    <w:tbl>
      <w:tblPr>
        <w:tblW w:w="9638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600"/>
        <w:gridCol w:w="438"/>
        <w:gridCol w:w="4600"/>
      </w:tblGrid>
      <w:tr>
        <w:tc>
          <w:tcPr>
            <w:tcW w:w="4600" w:type="dxa"/>
          </w:tcPr>
          <w:p>
            <w:pPr>
              <w:spacing w:after="40"/>
            </w:pPr>
            <w:r>
              <w:rPr>
                <w:sz w:val="18"/>
                <w:color w:val="64748B"/>
              </w:rPr>
              <w:t xml:space="preserve">Datum: </w:t>
            </w:r>
            <w:sdt>
              <w:sdtPr>
                <w:alias w:val="Datum"/>
                <w:tag w:val="datum"/>
                <w:id w:val="2036"/>
                <w:placeholder>
                  <w:docPart w:val="DefaultPlaceholder_2036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[Datum auswählen]</w:t>
                </w:r>
              </w:sdtContent>
            </w:sdt>
          </w:p>
        </w:tc>
        <w:tc>
          <w:tcPr>
            <w:tcW w:w="438" w:type="dxa"/>
          </w:tcPr>
          <w:p/>
        </w:tc>
        <w:tc>
          <w:tcPr>
            <w:tcW w:w="4600" w:type="dxa"/>
          </w:tcPr>
          <w:p>
            <w:pPr>
              <w:spacing w:after="40"/>
            </w:pPr>
            <w:r>
              <w:rPr>
                <w:sz w:val="18"/>
                <w:color w:val="64748B"/>
              </w:rPr>
              <w:t xml:space="preserve">Datum: </w:t>
            </w:r>
            <w:sdt>
              <w:sdtPr>
                <w:alias w:val="Datum"/>
                <w:tag w:val="datum"/>
                <w:id w:val="2037"/>
                <w:placeholder>
                  <w:docPart w:val="DefaultPlaceholder_2037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[Datum auswählen]</w:t>
                </w:r>
              </w:sdtContent>
            </w:sdt>
          </w:p>
        </w:tc>
      </w:tr>
      <w:tr>
        <w:tc>
          <w:tcPr>
            <w:tcW w:w="4600" w:type="dxa"/>
            <w:tcBorders>
              <w:bottom w:val="single" w:sz="6" w:space="0" w:color="94A3B8"/>
            </w:tcBorders>
          </w:tcPr>
          <w:p>
            <w:pPr>
              <w:spacing w:before="360" w:after="0"/>
            </w:pPr>
          </w:p>
        </w:tc>
        <w:tc>
          <w:tcPr>
            <w:tcW w:w="438" w:type="dxa"/>
          </w:tcPr>
          <w:p/>
        </w:tc>
        <w:tc>
          <w:tcPr>
            <w:tcW w:w="4600" w:type="dxa"/>
            <w:tcBorders>
              <w:bottom w:val="single" w:sz="6" w:space="0" w:color="94A3B8"/>
            </w:tcBorders>
          </w:tcPr>
          <w:p>
            <w:pPr>
              <w:spacing w:before="360" w:after="0"/>
            </w:pPr>
          </w:p>
        </w:tc>
      </w:tr>
      <w:tr>
        <w:tc>
          <w:tcPr>
            <w:tcW w:w="4600" w:type="dxa"/>
          </w:tcPr>
          <w:p>
            <w:pPr>
              <w:spacing w:before="80" w:after="160"/>
            </w:pPr>
            <w:r>
              <w:rPr>
                <w:b/>
                <w:sz w:val="18"/>
                <w:color w:val="475569"/>
              </w:rPr>
              <w:t>Datum, Unterschrift Arbeitgeber</w:t>
            </w:r>
          </w:p>
        </w:tc>
        <w:tc>
          <w:tcPr>
            <w:tcW w:w="438" w:type="dxa"/>
          </w:tcPr>
          <w:p/>
        </w:tc>
        <w:tc>
          <w:tcPr>
            <w:tcW w:w="4600" w:type="dxa"/>
          </w:tcPr>
          <w:p>
            <w:pPr>
              <w:spacing w:before="80" w:after="160"/>
            </w:pPr>
            <w:r>
              <w:rPr>
                <w:b/>
                <w:sz w:val="18"/>
                <w:color w:val="475569"/>
              </w:rPr>
              <w:t>Datum, Unterschrift Mitarbeiter/in</w:t>
            </w:r>
          </w:p>
        </w:tc>
      </w:tr>
    </w:tbl>
    <w:p/>
    <w:p>
      <w:pPr>
        <w:pStyle w:val="NoticeBox"/>
      </w:pPr>
      <w:r>
        <w:t xml:space="preserve">Dieses Muster ersetzt keine Rechtsberatung. In Betrieben mit Betriebsrat ist das Mitbestimmungsrecht nach § 87 Abs. 1 Nr. 2 und Nr. 6 BetrVG zu beachten.</w:t>
      </w:r>
    </w:p>
    <w:sectPr>
      <w:headerReference r:id="rId3" w:type="default"/>
      <w:footerReference r:id="rId2" w:type="default"/>
      <w:pgSz w:w="11906" w:h="16838"/>
      <w:pgMar w:top="1134" w:right="1134" w:bottom="1134" w:left="1134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E2E8F0"/>
      </w:pBdr>
      <w:tabs>
        <w:tab w:val="right" w:pos="9638"/>
      </w:tabs>
    </w:pPr>
    <w:r>
      <w:rPr>
        <w:sz w:val="16"/>
        <w:color w:val="94A3B8"/>
      </w:rPr>
      <w:t>Kostenlose Vorlage von PlainStaff · plainstaff.com/de/wissen/vorlagen/</w:t>
    </w:r>
    <w:r>
      <w:tab/>
    </w:r>
    <w:r>
      <w:rPr>
        <w:sz w:val="16"/>
        <w:color w:val="94A3B8"/>
      </w:rPr>
      <w:t>Seite </w:t>
    </w:r>
    <w:fldSimple w:instr="PAGE"/>
    <w:r>
      <w:rPr>
        <w:sz w:val="16"/>
        <w:color w:val="94A3B8"/>
      </w:rPr>
      <w:t> von </w:t>
    </w:r>
    <w:fldSimple w:instr="NUMPAGES"/>
  </w:p>
</w:ftr>
</file>

<file path=word/header1.xml><?xml version="1.0" encoding="utf-8"?>
<w:hdr xmlns:w="http://schemas.openxmlformats.org/wordprocessingml/2006/main">
  <w:p>
    <w:pPr>
      <w:pBdr>
        <w:bottom w:val="single" w:sz="6" w:space="4" w:color="1E73BE"/>
      </w:pBdr>
      <w:jc w:val="right"/>
    </w:pPr>
    <w:r>
      <w:rPr>
        <w:b/>
        <w:sz w:val="16"/>
        <w:color w:val="1E73BE"/>
      </w:rPr>
      <w:t>PlainStaff</w:t>
    </w:r>
    <w:r>
      <w:rPr>
        <w:sz w:val="16"/>
        <w:color w:val="64748B"/>
      </w:rPr>
      <w:t> · Mustervorlage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1"/>
        <w:color w:val="1E293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pPr>
      <w:spacing w:before="280" w:after="100"/>
      <w:outlineLvl w:val="0"/>
    </w:pPr>
    <w:rPr>
      <w:b/>
      <w:sz w:val="36"/>
      <w:color w:val="1E73BE"/>
    </w:rPr>
  </w:style>
  <w:style w:type="paragraph" w:styleId="Heading2">
    <w:name w:val="heading 2"/>
    <w:pPr>
      <w:spacing w:before="220" w:after="80"/>
      <w:outlineLvl w:val="1"/>
    </w:pPr>
    <w:rPr>
      <w:b/>
      <w:sz w:val="26"/>
      <w:color w:val="0F172A"/>
    </w:rPr>
  </w:style>
  <w:style w:type="paragraph" w:styleId="Subtitle">
    <w:name w:val="Subtitle"/>
    <w:pPr>
      <w:spacing w:before="0" w:after="200"/>
    </w:pPr>
    <w:rPr>
      <w:i/>
      <w:sz w:val="19"/>
      <w:color w:val="64748B"/>
    </w:rPr>
  </w:style>
  <w:style w:type="paragraph" w:styleId="NoticeBox">
    <w:name w:val="Notice Box"/>
    <w:pPr>
      <w:pBdr>
        <w:left w:val="single" w:sz="24" w:space="8" w:color="1E73BE"/>
      </w:pBdr>
      <w:shd w:val="clear" w:color="auto" w:fill="F8FAFC"/>
      <w:ind w:left="240" w:right="240"/>
      <w:spacing w:before="140" w:after="140" w:line="260" w:lineRule="auto"/>
    </w:pPr>
    <w:rPr>
      <w:i/>
      <w:sz w:val="19"/>
      <w:color w:val="475569"/>
    </w:rPr>
  </w:style>
  <w:style w:type="character" w:styleId="PlaceholderText">
    <w:name w:val="Placeholder Text"/>
    <w:basedOn w:val="DefaultParagraphFont"/>
    <w:rPr>
      <w:color w:val="94A3B8"/>
      <w:i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footer" Target="footer1.xml"/>
<Relationship Id="rId3" Type="http://schemas.openxmlformats.org/officeDocument/2006/relationships/header" Target="header1.xml"/>
</Relationships>
</file>