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15="http://schemas.microsoft.com/office/word/2012/wordml" xmlns:mc="http://schemas.openxmlformats.org/markup-compatibility/2006" mc:Ignorable="w14 w15">
  <w:body>
    <w:p>
      <w:pPr>
        <w:pStyle w:val="Heading1"/>
      </w:pPr>
      <w:r>
        <w:t xml:space="preserve">Verfahrensdokumentation Zeiterfassung</w:t>
      </w:r>
    </w:p>
    <w:p>
      <w:pPr>
        <w:pStyle w:val="Subtitle"/>
      </w:pPr>
      <w:r>
        <w:t xml:space="preserve">Musterdokumentation nach GoBD und Arbeitszeitgesetz (ArbZG)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20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Unternehmen:</w:t>
            </w:r>
          </w:p>
        </w:tc>
        <w:tc>
          <w:tcPr>
            <w:tcW w:w="38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Unternehmen"/>
                <w:tag w:val="unternehmen"/>
                <w:id w:val="2042"/>
                <w:placeholder>
                  <w:docPart w:val="DefaultPlaceholder_2042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 des Unternehmens]</w:t>
                </w:r>
              </w:sdtContent>
            </w:sdt>
          </w:p>
        </w:tc>
        <w:tc>
          <w:tcPr>
            <w:tcW w:w="18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Version:</w:t>
            </w:r>
          </w:p>
        </w:tc>
        <w:tc>
          <w:tcPr>
            <w:tcW w:w="20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Version"/>
                <w:tag w:val="version"/>
                <w:id w:val="2043"/>
                <w:placeholder>
                  <w:docPart w:val="DefaultPlaceholder_2043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1.0</w:t>
                </w:r>
              </w:sdtContent>
            </w:sdt>
          </w:p>
        </w:tc>
      </w:tr>
      <w:tr>
        <w:tc>
          <w:tcPr>
            <w:tcW w:w="20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Gültig ab:</w:t>
            </w:r>
          </w:p>
        </w:tc>
        <w:tc>
          <w:tcPr>
            <w:tcW w:w="38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Gültig ab"/>
                <w:tag w:val="g_ltig_ab"/>
                <w:id w:val="2044"/>
                <w:placeholder>
                  <w:docPart w:val="DefaultPlaceholder_2044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</w:p>
        </w:tc>
        <w:tc>
          <w:tcPr>
            <w:tcW w:w="18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Erstellt von:</w:t>
            </w:r>
          </w:p>
        </w:tc>
        <w:tc>
          <w:tcPr>
            <w:tcW w:w="20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utor"/>
                <w:tag w:val="autor"/>
                <w:id w:val="2045"/>
                <w:placeholder>
                  <w:docPart w:val="DefaultPlaceholder_2045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[Name, Rolle]</w:t>
                </w:r>
              </w:sdtContent>
            </w:sdt>
          </w:p>
        </w:tc>
      </w:tr>
      <w:tr>
        <w:tc>
          <w:tcPr>
            <w:tcW w:w="20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Freigabe:</w:t>
            </w:r>
          </w:p>
        </w:tc>
        <w:tc>
          <w:tcPr>
            <w:tcW w:w="38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Freigabe"/>
                <w:tag w:val="freigabe"/>
                <w:id w:val="2046"/>
                <w:placeholder>
                  <w:docPart w:val="DefaultPlaceholder_2046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 Geschäftsleitung / Betriebsrat]</w:t>
                </w:r>
              </w:sdtContent>
            </w:sdt>
          </w:p>
        </w:tc>
        <w:tc>
          <w:tcPr>
            <w:tcW w:w="18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Prüfung:</w:t>
            </w:r>
          </w:p>
        </w:tc>
        <w:tc>
          <w:tcPr>
            <w:tcW w:w="20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Prüfung"/>
                <w:tag w:val="pr_fung"/>
                <w:id w:val="2047"/>
                <w:placeholder>
                  <w:docPart w:val="DefaultPlaceholder_2047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[Datum]</w:t>
                </w:r>
              </w:sdtContent>
            </w:sdt>
          </w:p>
        </w:tc>
      </w:tr>
    </w:tbl>
    <w:p/>
    <w:p>
      <w:pPr>
        <w:pStyle w:val="Heading2"/>
      </w:pPr>
      <w:r>
        <w:t xml:space="preserve">1. Allgemeine Beschreibung &amp; Zweck</w:t>
      </w:r>
    </w:p>
    <w:p>
      <w:r>
        <w:t xml:space="preserve">Diese Verfahrensdokumentation beschreibt die organisatorischen und technischen Prozesse der Arbeitszeiterfassung zur Erfüllung der Aufzeichnungspflichten nach § 16 Abs. 2 ArbZG und § 17 MiLoG sowie als ordnungsmäßige Grundlage der Entgeltabrechnung.</w:t>
      </w:r>
    </w:p>
    <w:p/>
    <w:p>
      <w:pPr>
        <w:pStyle w:val="Heading2"/>
      </w:pPr>
      <w:r>
        <w:t xml:space="preserve">2. Anwenderdokumentation</w:t>
      </w:r>
    </w:p>
    <w:p>
      <w:r>
        <w:t xml:space="preserve">Erfassung erfolgt über Web-Browser, Mobile App und Terminals. Die Erfassung wird arbeitstäglich eigenverantwortlich durchgeführt. Korrekturen erfordern Begründung und Vorgesetztenfreigabe.</w:t>
      </w:r>
    </w:p>
    <w:p/>
    <w:p>
      <w:pPr>
        <w:pStyle w:val="Heading2"/>
      </w:pPr>
      <w:r>
        <w:t xml:space="preserve">3. Technische Dokumentation &amp; IT-Sicherheit</w:t>
      </w:r>
    </w:p>
    <w:p>
      <w:r>
        <w:t xml:space="preserve">Eingesetzte SaaS-Lösung: PlainStaff. ISO 27001 zertifizierte Rechenzentren in Deutschland, TLS 1.3 Transportverschlüsselung, AES-256 Ruhezustandsverschlüsselung.</w:t>
      </w:r>
    </w:p>
    <w:p/>
    <w:p>
      <w:pPr>
        <w:pStyle w:val="Heading2"/>
      </w:pPr>
      <w:r>
        <w:t xml:space="preserve">4. Rollen- und Berechtigungskonzept</w:t>
      </w:r>
    </w:p>
    <w:p>
      <w:r>
        <w:t xml:space="preserve">Mitarbeitende: Einsicht und Erfassung eigener Daten. Führungskräfte: Freigabe des eigenen Bereichs. Personalabteilung: Lohnabrechnung. Administration: Rollenverwaltung.</w:t>
      </w:r>
    </w:p>
    <w:p/>
    <w:p>
      <w:pPr>
        <w:pStyle w:val="Heading2"/>
      </w:pPr>
      <w:r>
        <w:t xml:space="preserve">5. Aufbewahrung und Löschfristen</w:t>
      </w:r>
    </w:p>
    <w:p>
      <w:r>
        <w:t xml:space="preserve">Arbeitszeitdaten werden für die gesetzliche Aufbewahrungsdauer (2 Jahre) gespeichert und anschließend datenschutzkonform vernichtet.</w:t>
      </w:r>
    </w:p>
    <w:p/>
    <w:p>
      <w:pPr>
        <w:pStyle w:val="NoticeBox"/>
      </w:pPr>
      <w:r>
        <w:t xml:space="preserve">Diese Dokumentation ist bei jeder wesentlichen Systemänderung fortzuschreiben und für Betriebsprüfungen bereitzuhalten.</w:t>
      </w:r>
    </w:p>
    <w:sectPr>
      <w:headerReference r:id="rId3" w:type="default"/>
      <w:footerReference r:id="rId2" w:type="default"/>
      <w:pgSz w:w="11906" w:h="16838"/>
      <w:pgMar w:top="1134" w:right="1134" w:bottom="1134" w:left="1134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2E8F0"/>
      </w:pBdr>
      <w:tabs>
        <w:tab w:val="right" w:pos="9638"/>
      </w:tabs>
    </w:pPr>
    <w:r>
      <w:rPr>
        <w:sz w:val="16"/>
        <w:color w:val="94A3B8"/>
      </w:rPr>
      <w:t>Kostenlose Vorlage von PlainStaff · plainstaff.com/de/wissen/vorlagen/</w:t>
    </w:r>
    <w:r>
      <w:tab/>
    </w:r>
    <w:r>
      <w:rPr>
        <w:sz w:val="16"/>
        <w:color w:val="94A3B8"/>
      </w:rPr>
      <w:t>Seite </w:t>
    </w:r>
    <w:fldSimple w:instr="PAGE"/>
    <w:r>
      <w:rPr>
        <w:sz w:val="16"/>
        <w:color w:val="94A3B8"/>
      </w:rPr>
      <w:t> von </w:t>
    </w:r>
    <w:fldSimple w:instr="NUMPAGES"/>
  </w:p>
</w:ftr>
</file>

<file path=word/header1.xml><?xml version="1.0" encoding="utf-8"?>
<w:hdr xmlns:w="http://schemas.openxmlformats.org/wordprocessingml/2006/main">
  <w:p>
    <w:pPr>
      <w:pBdr>
        <w:bottom w:val="single" w:sz="6" w:space="4" w:color="1E73BE"/>
      </w:pBdr>
      <w:jc w:val="right"/>
    </w:pPr>
    <w:r>
      <w:rPr>
        <w:b/>
        <w:sz w:val="16"/>
        <w:color w:val="1E73BE"/>
      </w:rPr>
      <w:t>PlainStaff</w:t>
    </w:r>
    <w:r>
      <w:rPr>
        <w:sz w:val="16"/>
        <w:color w:val="64748B"/>
      </w:rPr>
      <w:t> · Mustervorlage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  <w:color w:val="1E293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pPr>
      <w:spacing w:before="280" w:after="100"/>
      <w:outlineLvl w:val="0"/>
    </w:pPr>
    <w:rPr>
      <w:b/>
      <w:sz w:val="36"/>
      <w:color w:val="1E73BE"/>
    </w:rPr>
  </w:style>
  <w:style w:type="paragraph" w:styleId="Heading2">
    <w:name w:val="heading 2"/>
    <w:pPr>
      <w:spacing w:before="220" w:after="80"/>
      <w:outlineLvl w:val="1"/>
    </w:pPr>
    <w:rPr>
      <w:b/>
      <w:sz w:val="26"/>
      <w:color w:val="0F172A"/>
    </w:rPr>
  </w:style>
  <w:style w:type="paragraph" w:styleId="Subtitle">
    <w:name w:val="Subtitle"/>
    <w:pPr>
      <w:spacing w:before="0" w:after="200"/>
    </w:pPr>
    <w:rPr>
      <w:i/>
      <w:sz w:val="19"/>
      <w:color w:val="64748B"/>
    </w:rPr>
  </w:style>
  <w:style w:type="paragraph" w:styleId="NoticeBox">
    <w:name w:val="Notice Box"/>
    <w:pPr>
      <w:pBdr>
        <w:left w:val="single" w:sz="24" w:space="8" w:color="1E73BE"/>
      </w:pBdr>
      <w:shd w:val="clear" w:color="auto" w:fill="F8FAFC"/>
      <w:ind w:left="240" w:right="240"/>
      <w:spacing w:before="140" w:after="140" w:line="260" w:lineRule="auto"/>
    </w:pPr>
    <w:rPr>
      <w:i/>
      <w:sz w:val="19"/>
      <w:color w:val="475569"/>
    </w:rPr>
  </w:style>
  <w:style w:type="character" w:styleId="PlaceholderText">
    <w:name w:val="Placeholder Text"/>
    <w:basedOn w:val="DefaultParagraphFont"/>
    <w:rPr>
      <w:color w:val="94A3B8"/>
      <w:i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Relationship Id="rId3" Type="http://schemas.openxmlformats.org/officeDocument/2006/relationships/header" Target="header1.xml"/>
</Relationships>
</file>